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8C251D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51D" w:rsidRDefault="000929A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8C251D" w:rsidRDefault="000929A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091"/>
        <w:gridCol w:w="228"/>
        <w:gridCol w:w="1538"/>
        <w:gridCol w:w="1723"/>
      </w:tblGrid>
      <w:tr w:rsidR="008C251D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</w:tr>
      <w:tr w:rsidR="008C251D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8C251D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8C251D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апреля 2023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01.04.2023</w:t>
            </w:r>
          </w:p>
        </w:tc>
      </w:tr>
      <w:tr w:rsidR="008C251D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</w:tr>
      <w:tr w:rsidR="008C251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0"/>
              </w:rPr>
            </w:pPr>
          </w:p>
        </w:tc>
      </w:tr>
      <w:tr w:rsidR="008C251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10948295</w:t>
            </w:r>
          </w:p>
        </w:tc>
      </w:tr>
      <w:tr w:rsidR="008C251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0"/>
              </w:rPr>
            </w:pPr>
          </w:p>
        </w:tc>
      </w:tr>
      <w:tr w:rsidR="008C251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0"/>
              </w:rPr>
            </w:pPr>
          </w:p>
        </w:tc>
      </w:tr>
      <w:tr w:rsidR="008C251D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Уржумского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8C251D" w:rsidRDefault="000929A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993</w:t>
            </w:r>
          </w:p>
        </w:tc>
      </w:tr>
      <w:tr w:rsidR="008C251D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</w:tr>
      <w:tr w:rsidR="008C251D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Сельские поселения</w:t>
            </w:r>
          </w:p>
          <w:p w:rsidR="008C251D" w:rsidRDefault="000929AD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33641496</w:t>
            </w:r>
          </w:p>
        </w:tc>
      </w:tr>
      <w:tr w:rsidR="008C251D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</w:tr>
      <w:tr w:rsidR="008C251D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8C251D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</w:tr>
      <w:tr w:rsidR="008C251D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</w:tr>
    </w:tbl>
    <w:p w:rsidR="008C251D" w:rsidRDefault="000929AD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Раздел 1 Организационная</w:t>
      </w:r>
      <w:r>
        <w:rPr>
          <w:rFonts w:ascii="Cambria" w:eastAsia="Cambria" w:hAnsi="Cambria" w:cs="Cambria"/>
          <w:b/>
          <w:color w:val="000000"/>
          <w:sz w:val="32"/>
          <w:szCs w:val="32"/>
        </w:rPr>
        <w:t xml:space="preserve"> структура субъекта бюджетной отчетности</w:t>
      </w:r>
    </w:p>
    <w:p w:rsidR="008C251D" w:rsidRDefault="000929AD">
      <w:pPr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 </w:t>
      </w:r>
    </w:p>
    <w:p w:rsidR="008C251D" w:rsidRDefault="000929AD">
      <w:pPr>
        <w:ind w:firstLine="700"/>
        <w:jc w:val="both"/>
      </w:pP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 xml:space="preserve">Муниципальное учреждение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 области осуществляет свою деятельность на основании Конституции Российской Федерации, федеральных конституционных законов, федеральных законов, иных нормативн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ых правовых актов Российской Федерации, Устава Кировской области, законов Кировской области, иных нормативных правовых актов Кировской области, Устава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и решений, принятых на местном референдуме, имеет самостоятельный баланс, 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печать с гербом РФ. </w:t>
      </w:r>
      <w:proofErr w:type="gramEnd"/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МУ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 области имеет 2 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>подведомственных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 xml:space="preserve"> ей учреждения культуры: МКУК Р.-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Тимкинский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СДК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lastRenderedPageBreak/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 области, МКУК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Богда</w:t>
      </w:r>
      <w:r>
        <w:rPr>
          <w:rFonts w:ascii="Cambria" w:eastAsia="Cambria" w:hAnsi="Cambria" w:cs="Cambria"/>
          <w:color w:val="000000"/>
          <w:sz w:val="32"/>
          <w:szCs w:val="32"/>
        </w:rPr>
        <w:t>новская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сельская библиотека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 области.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Основными задачами деятельности администрации являются: организация в границах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электро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>-, тепл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>о-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газо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>- и водоснабжения населения, водоотведения, снабж</w:t>
      </w:r>
      <w:r>
        <w:rPr>
          <w:rFonts w:ascii="Cambria" w:eastAsia="Cambria" w:hAnsi="Cambria" w:cs="Cambria"/>
          <w:color w:val="000000"/>
          <w:sz w:val="32"/>
          <w:szCs w:val="32"/>
        </w:rPr>
        <w:t>ения населения топливом; дорожная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</w:t>
      </w:r>
      <w:r>
        <w:rPr>
          <w:rFonts w:ascii="Cambria" w:eastAsia="Cambria" w:hAnsi="Cambria" w:cs="Cambria"/>
          <w:color w:val="000000"/>
          <w:sz w:val="32"/>
          <w:szCs w:val="32"/>
        </w:rPr>
        <w:t>и в соответствии с законодательством Российской Федерации; участие в предупреждении и ликвидации последствий чрезвычайных ситуаций в границах поселения; обеспечение первичных мер пожарной безопасности в границах населенных пунктов поселения; создание услов</w:t>
      </w:r>
      <w:r>
        <w:rPr>
          <w:rFonts w:ascii="Cambria" w:eastAsia="Cambria" w:hAnsi="Cambria" w:cs="Cambria"/>
          <w:color w:val="000000"/>
          <w:sz w:val="32"/>
          <w:szCs w:val="32"/>
        </w:rPr>
        <w:t>ий для организации досуга и обеспечения жителей поселения услугами организаций культуры; организация благоустройства и озеленения территории поселения, расположенной в границах населенных пунктов поселения; организация и осуществление мероприятий по гражда</w:t>
      </w:r>
      <w:r>
        <w:rPr>
          <w:rFonts w:ascii="Cambria" w:eastAsia="Cambria" w:hAnsi="Cambria" w:cs="Cambria"/>
          <w:color w:val="000000"/>
          <w:sz w:val="32"/>
          <w:szCs w:val="32"/>
        </w:rPr>
        <w:t>нской обороне, защите населения и территории поселения от чрезвычайных ситуаций природного и техногенного характера; иные вопросы местного значения.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Исполнение бюджета осуществляет МУ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 области. МУ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обеспечивает проведение финансовой, бюджетной и налоговой политики на территории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поселения.</w:t>
      </w:r>
    </w:p>
    <w:p w:rsidR="008C251D" w:rsidRDefault="000929AD">
      <w:pPr>
        <w:ind w:left="360"/>
        <w:jc w:val="both"/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 территории поселения имеются следующие сельскохозяйственные предприятия: ООО «Андр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еевское», ООО «Надежда-хлеб НА», колхоз им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.К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оминтерна, колхоз им . Кирова, колхоз «Рассвет», ООО «Агрофирма Строитель» , ООО «Пригородное . Основными направлениями в животноводстве являются производство молока, мяса, в растениеводстве производство зерновых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культур и многолетних трав.</w:t>
      </w:r>
    </w:p>
    <w:p w:rsidR="008C251D" w:rsidRDefault="000929AD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 </w:t>
      </w:r>
    </w:p>
    <w:p w:rsidR="008C251D" w:rsidRDefault="000929AD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Раздел 2 Результаты деятельности субъекта бюджетной отчетности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На 01.04.2023 г. общая численность работников, осуществляющих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исполнително-распорядительные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функции, муниципального учреждения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 области составляет 61 человек. Из них 17 человек занято в ОМСУ МУ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с общей штатной численностью 18,49 единицы прочий персонал 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>при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 xml:space="preserve"> утвержденной штатной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численноси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12</w:t>
      </w:r>
      <w:r>
        <w:rPr>
          <w:rFonts w:ascii="Cambria" w:eastAsia="Cambria" w:hAnsi="Cambria" w:cs="Cambria"/>
          <w:color w:val="000000"/>
          <w:sz w:val="32"/>
          <w:szCs w:val="32"/>
        </w:rPr>
        <w:t>,4 ставок трудится 16человек, по работникам ВУС 1 человек. В МКУК «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Р.Тимкинский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СДК»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трудится 17 человек с общей штатной численностью в учреждении 12,25 единицы. В МКУК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Богдановская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сельская библиотека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</w:t>
      </w:r>
      <w:r>
        <w:rPr>
          <w:rFonts w:ascii="Cambria" w:eastAsia="Cambria" w:hAnsi="Cambria" w:cs="Cambria"/>
          <w:color w:val="000000"/>
          <w:sz w:val="32"/>
          <w:szCs w:val="32"/>
        </w:rPr>
        <w:t>селения трудится 11 человек с общей штатной численностью в учреждения 6,9 единицы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В своей работе работники учреждений руководствуются своими должностными регламентами.</w:t>
      </w:r>
    </w:p>
    <w:p w:rsidR="008C251D" w:rsidRDefault="000929AD">
      <w:pPr>
        <w:ind w:firstLine="72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В целях повышения качества жизни жителей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путем предоставл</w:t>
      </w:r>
      <w:r>
        <w:rPr>
          <w:rFonts w:ascii="Cambria" w:eastAsia="Cambria" w:hAnsi="Cambria" w:cs="Cambria"/>
          <w:color w:val="000000"/>
          <w:sz w:val="32"/>
          <w:szCs w:val="32"/>
        </w:rPr>
        <w:t>ения им возможности саморазвития через регулярные занятия творчеством; обеспечения доступа населения поселения к культурным ценностям и участию в культурной жизни, реализации творческого потенциала граждан; развития и сохранения кадрового потенциала учрежд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ений культуры; сокращения разрыва между средним уровнем 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>оплаты труда работников учреждений культуры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 xml:space="preserve"> и средним уровнем заработной платы по экономике Кировской области; повышения эффективности деятельности учреждения культуры и качества оказываемых учреждени</w:t>
      </w:r>
      <w:r>
        <w:rPr>
          <w:rFonts w:ascii="Cambria" w:eastAsia="Cambria" w:hAnsi="Cambria" w:cs="Cambria"/>
          <w:color w:val="000000"/>
          <w:sz w:val="32"/>
          <w:szCs w:val="32"/>
        </w:rPr>
        <w:t>ем культуры государственных (муниципальных) услуг; создания благоприятных условий для устойчивого развития сферы культуры МКУК «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Р.Тимкинский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СДК»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и МКУК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lastRenderedPageBreak/>
        <w:t>Богдановская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сельская библиотека разработан и утвержден Приказом от 14.1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0.2013 г. № 8 «План мероприятий («дорожная карта») 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8C251D" w:rsidRDefault="000929AD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Раздел 3 Анализ отчета об исполнении бюджета субъекта бюджетной отчетности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8C251D" w:rsidRDefault="000929AD">
      <w:pPr>
        <w:ind w:firstLine="700"/>
        <w:jc w:val="both"/>
      </w:pP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 xml:space="preserve">Бюджет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на 2023 год и плановый период 2024 и 2025 годов утвержден Решением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Уржумской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сельской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 Думы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№4/14 от 23.12.2022 г. «О бюджете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Уржумского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Уржумского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района Кировской области на 2023 год и на плановый период 2024 и 2025 годов» в первоначальной редакции по доходам в сумме 26512180,00 рублей и по расходам в сумме 26512180,00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рублей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 дефицитом в объеме 0,0 рублей.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Уточненные бюджетные назначения по доходам в сумме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27437180,00 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рублей исполнены на сумму 7388379,61 рублей (26,92%). Уточненные бюджетные назначения по расходам в сумме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30400109,91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 рублей исполнены в сумме 5944165,6</w:t>
      </w:r>
      <w:r>
        <w:rPr>
          <w:rFonts w:ascii="Cambria" w:eastAsia="Cambria" w:hAnsi="Cambria" w:cs="Cambria"/>
          <w:color w:val="000000"/>
          <w:sz w:val="32"/>
          <w:szCs w:val="32"/>
        </w:rPr>
        <w:t>3 рублей (19,83%). ЛБО соблюдались.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Норматив расходов на содержание органов местного самоуправления, утвержденный Постановлением Правительства Кировской области в сумме 8292000,00 рублей соблюден. 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Размер дефицита бюджета на 2023 год первоначально был утве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ржден в сумме 0,00 рублей, с учетом внесенных поправок уточненный размер дефицита бюджета составил 0,0 рублей. Фактически бюджет поселения текущего года исполнен с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профицитом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в размере 1444213,98 рублей. Предельный объем дефицита бюджета, установленный ст.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 92.1 БК РФ в 2023 году соблюдался.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lastRenderedPageBreak/>
        <w:t xml:space="preserve">Бюджет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за 2023 год исполнен в соответствии с Основными направлениями бюджетной и налоговой политики и основан на показателях прогноза социально-экономического развития поселения. 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8C251D" w:rsidRDefault="000929AD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Разде</w:t>
      </w:r>
      <w:r>
        <w:rPr>
          <w:rFonts w:ascii="Cambria" w:eastAsia="Cambria" w:hAnsi="Cambria" w:cs="Cambria"/>
          <w:b/>
          <w:color w:val="000000"/>
          <w:sz w:val="32"/>
          <w:szCs w:val="32"/>
        </w:rPr>
        <w:t>л 4 Анализ показателей финансовой отчетности субъекта бюджетной отчетности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На 01.04.2023 года просроченная кредиторская задолженность отсутствует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 xml:space="preserve"> .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 xml:space="preserve"> Поступление средств на лицевые счета по безналичным расчетам через финансовые органы отражено в полном </w:t>
      </w:r>
      <w:r>
        <w:rPr>
          <w:rFonts w:ascii="Cambria" w:eastAsia="Cambria" w:hAnsi="Cambria" w:cs="Cambria"/>
          <w:color w:val="000000"/>
          <w:sz w:val="32"/>
          <w:szCs w:val="32"/>
        </w:rPr>
        <w:t>объеме, т.е. 7388379,61 рублей («Отчет об исполнении бюджета» (ф. 0503117)). Кассовые расходы составили 5944165,63 рублей.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В 1 квартале текущего года произошло увеличение дебиторской задолженности за услуги связи на сумму 4926,07 рублей в связи с увеличени</w:t>
      </w:r>
      <w:r>
        <w:rPr>
          <w:rFonts w:ascii="Cambria" w:eastAsia="Cambria" w:hAnsi="Cambria" w:cs="Cambria"/>
          <w:color w:val="000000"/>
          <w:sz w:val="32"/>
          <w:szCs w:val="32"/>
        </w:rPr>
        <w:t>ем суммы ежемесячного платежа по причине роста тарифов, договор на услуги связи заключен на условиях предварительной оплаты. Роста кредиторской задолженности по состоянию на 01.04.2023 нет.</w:t>
      </w:r>
    </w:p>
    <w:p w:rsidR="008C251D" w:rsidRDefault="000929AD">
      <w:pPr>
        <w:jc w:val="both"/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         </w:t>
      </w: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8C251D" w:rsidRDefault="000929AD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 </w:t>
      </w:r>
    </w:p>
    <w:p w:rsidR="008C251D" w:rsidRDefault="000929AD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Раздел 5</w:t>
      </w:r>
      <w:proofErr w:type="gramStart"/>
      <w:r>
        <w:rPr>
          <w:rFonts w:ascii="Cambria" w:eastAsia="Cambria" w:hAnsi="Cambria" w:cs="Cambria"/>
          <w:b/>
          <w:color w:val="000000"/>
          <w:sz w:val="32"/>
          <w:szCs w:val="32"/>
        </w:rPr>
        <w:t xml:space="preserve"> П</w:t>
      </w:r>
      <w:proofErr w:type="gramEnd"/>
      <w:r>
        <w:rPr>
          <w:rFonts w:ascii="Cambria" w:eastAsia="Cambria" w:hAnsi="Cambria" w:cs="Cambria"/>
          <w:b/>
          <w:color w:val="000000"/>
          <w:sz w:val="32"/>
          <w:szCs w:val="32"/>
        </w:rPr>
        <w:t>рочие вопросы деятельности субъекта бюджетн</w:t>
      </w:r>
      <w:r>
        <w:rPr>
          <w:rFonts w:ascii="Cambria" w:eastAsia="Cambria" w:hAnsi="Cambria" w:cs="Cambria"/>
          <w:b/>
          <w:color w:val="000000"/>
          <w:sz w:val="32"/>
          <w:szCs w:val="32"/>
        </w:rPr>
        <w:t>ой отчетности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Нормативным документом, регламентирующим деятельность МУ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 области, МКУК «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Р.-Тимкинский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СДК»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и МКУК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Богдановская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сельская библиотека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</w:t>
      </w:r>
      <w:r>
        <w:rPr>
          <w:rFonts w:ascii="Cambria" w:eastAsia="Cambria" w:hAnsi="Cambria" w:cs="Cambria"/>
          <w:color w:val="000000"/>
          <w:sz w:val="32"/>
          <w:szCs w:val="32"/>
        </w:rPr>
        <w:t>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в области бухгалтерского учета и налогообложения, является учетная политика.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lastRenderedPageBreak/>
        <w:t xml:space="preserve">Учетной политикой 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>утверждены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>:</w:t>
      </w:r>
    </w:p>
    <w:p w:rsidR="008C251D" w:rsidRDefault="000929AD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>рабочий план счетов бухгалтерского учета, содержащий применяемые счета бухгалтерского учета для ведения синтетическ</w:t>
      </w:r>
      <w:r>
        <w:rPr>
          <w:rFonts w:ascii="Cambria" w:eastAsia="Cambria" w:hAnsi="Cambria" w:cs="Cambria"/>
          <w:color w:val="000000"/>
          <w:sz w:val="32"/>
          <w:szCs w:val="32"/>
        </w:rPr>
        <w:t>ого и аналитического учета;</w:t>
      </w:r>
    </w:p>
    <w:p w:rsidR="008C251D" w:rsidRDefault="000929AD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>методы оценки отдельных видов имущества и обязательств;</w:t>
      </w:r>
    </w:p>
    <w:p w:rsidR="008C251D" w:rsidRDefault="000929AD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-       порядок проведения инвентаризации имущества и обязательств;</w:t>
      </w:r>
    </w:p>
    <w:p w:rsidR="008C251D" w:rsidRDefault="000929AD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-       правила документооборота и технической обработки учетной информации, в том числе порядок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 и сроки передачи первичных (сводных) учетных документов в соответствии с утвержденным графиком документооборота для отражения в бухгалтерском учете;</w:t>
      </w:r>
    </w:p>
    <w:p w:rsidR="008C251D" w:rsidRDefault="000929AD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>формы первичных (сводных) учетных документов, применяемых для оформления хозяйственных операций, п</w:t>
      </w:r>
      <w:r>
        <w:rPr>
          <w:rFonts w:ascii="Cambria" w:eastAsia="Cambria" w:hAnsi="Cambria" w:cs="Cambria"/>
          <w:color w:val="000000"/>
          <w:sz w:val="32"/>
          <w:szCs w:val="32"/>
        </w:rPr>
        <w:t>о которым законодательством РФ не установлены обязательные для их оформления формы документов;</w:t>
      </w:r>
    </w:p>
    <w:p w:rsidR="008C251D" w:rsidRDefault="000929AD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>порядок организации и обеспечения (осуществления) учреждением внутреннего финансового контроля;</w:t>
      </w:r>
    </w:p>
    <w:p w:rsidR="008C251D" w:rsidRDefault="000929AD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>совокупность допускаемых НК РФ (методов) определе</w:t>
      </w:r>
      <w:r>
        <w:rPr>
          <w:rFonts w:ascii="Cambria" w:eastAsia="Cambria" w:hAnsi="Cambria" w:cs="Cambria"/>
          <w:color w:val="000000"/>
          <w:sz w:val="32"/>
          <w:szCs w:val="32"/>
        </w:rPr>
        <w:t>ния доходов и (или) расходов, их признания, оценки и распределения, а также учета иных необходимых для целей налогообложения показателей финансово-хозяйственной деятельности налогоплательщика;</w:t>
      </w:r>
    </w:p>
    <w:p w:rsidR="008C251D" w:rsidRDefault="000929AD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>иные решения, необходимые для организации и ведения бух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галтерского и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налогововго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учета.</w:t>
      </w:r>
    </w:p>
    <w:p w:rsidR="008C251D" w:rsidRDefault="000929AD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Бухгалтерский учет осуществляется с применением программного продукта «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КейСистемс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>».</w:t>
      </w:r>
    </w:p>
    <w:p w:rsidR="008C251D" w:rsidRDefault="000929AD">
      <w:r>
        <w:rPr>
          <w:rFonts w:ascii="Cambria" w:eastAsia="Cambria" w:hAnsi="Cambria" w:cs="Cambria"/>
          <w:color w:val="000000"/>
          <w:sz w:val="32"/>
          <w:szCs w:val="32"/>
        </w:rPr>
        <w:t>В целях обеспечения правильности и целевого использованием бюджетных средств, своевременного и полного расчета по налогам и взносам во внеб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юджетные фонды, а также расчетов с персоналом, различными предприятиями, организациями и физическими лицами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существляется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внутренний финансовый контроль со стороны </w:t>
      </w:r>
      <w:r>
        <w:rPr>
          <w:rFonts w:ascii="Cambria" w:eastAsia="Cambria" w:hAnsi="Cambria" w:cs="Cambria"/>
          <w:color w:val="000000"/>
          <w:sz w:val="32"/>
          <w:szCs w:val="32"/>
        </w:rPr>
        <w:lastRenderedPageBreak/>
        <w:t>руководителей и главного бухгалтера. Нарушения в ходе контрольных мероприятий не установлены</w:t>
      </w:r>
      <w:r>
        <w:rPr>
          <w:rFonts w:ascii="Cambria" w:eastAsia="Cambria" w:hAnsi="Cambria" w:cs="Cambria"/>
          <w:color w:val="000000"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         </w:t>
      </w:r>
      <w:r>
        <w:rPr>
          <w:rFonts w:ascii="Cambria" w:eastAsia="Cambria" w:hAnsi="Cambria" w:cs="Cambria"/>
          <w:color w:val="000000"/>
          <w:sz w:val="32"/>
          <w:szCs w:val="32"/>
        </w:rPr>
        <w:t>      </w:t>
      </w:r>
    </w:p>
    <w:p w:rsidR="008C251D" w:rsidRDefault="008C251D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30"/>
        <w:gridCol w:w="4732"/>
        <w:gridCol w:w="3478"/>
      </w:tblGrid>
      <w:tr w:rsidR="008C251D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51D" w:rsidRDefault="008C251D"/>
        </w:tc>
      </w:tr>
      <w:tr w:rsidR="008C251D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51D" w:rsidRDefault="000929A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51D" w:rsidRDefault="008C251D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51D" w:rsidRDefault="000929A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Платунова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Л.А.</w:t>
            </w:r>
          </w:p>
        </w:tc>
      </w:tr>
      <w:tr w:rsidR="008C251D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51D" w:rsidRDefault="000929A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51D" w:rsidRDefault="000929A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C251D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C251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51D" w:rsidRDefault="000929A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51D" w:rsidRDefault="008C251D">
            <w:pPr>
              <w:rPr>
                <w:sz w:val="24"/>
              </w:rPr>
            </w:pPr>
          </w:p>
        </w:tc>
      </w:tr>
      <w:tr w:rsidR="008C251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51D" w:rsidRDefault="000929A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51D" w:rsidRDefault="000929A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51D" w:rsidRDefault="000929A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C251D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8C251D">
            <w:pPr>
              <w:rPr>
                <w:sz w:val="24"/>
              </w:rPr>
            </w:pPr>
          </w:p>
        </w:tc>
      </w:tr>
      <w:tr w:rsidR="008C251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51D" w:rsidRDefault="000929A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8C251D" w:rsidRDefault="000929A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8C251D" w:rsidRDefault="000929A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51D" w:rsidRDefault="008C251D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C251D" w:rsidRDefault="000929A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Смышляева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Л.В.</w:t>
            </w:r>
          </w:p>
        </w:tc>
      </w:tr>
      <w:tr w:rsidR="008C251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51D" w:rsidRDefault="000929A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51D" w:rsidRDefault="000929A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51D" w:rsidRDefault="000929A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8C251D" w:rsidRDefault="000929A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8C251D" w:rsidRDefault="000929A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"____"   </w:t>
      </w:r>
      <w:r>
        <w:rPr>
          <w:rFonts w:ascii="Times New Roman" w:eastAsia="Times New Roman" w:hAnsi="Times New Roman" w:cs="Times New Roman"/>
          <w:sz w:val="20"/>
          <w:szCs w:val="20"/>
        </w:rPr>
        <w:t>____________ 20____г.</w:t>
      </w:r>
    </w:p>
    <w:p w:rsidR="008C251D" w:rsidRDefault="000929AD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8C251D" w:rsidSect="008C251D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C251D"/>
    <w:rsid w:val="000929AD"/>
    <w:rsid w:val="008C2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2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8C251D"/>
  </w:style>
  <w:style w:type="character" w:styleId="a3">
    <w:name w:val="Hyperlink"/>
    <w:rsid w:val="008C251D"/>
    <w:rPr>
      <w:color w:val="0000FF"/>
      <w:u w:val="single"/>
    </w:rPr>
  </w:style>
  <w:style w:type="table" w:styleId="1">
    <w:name w:val="Table Simple 1"/>
    <w:basedOn w:val="a1"/>
    <w:rsid w:val="008C25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1459</Words>
  <Characters>8322</Characters>
  <Application>Microsoft Office Word</Application>
  <DocSecurity>0</DocSecurity>
  <Lines>69</Lines>
  <Paragraphs>19</Paragraphs>
  <ScaleCrop>false</ScaleCrop>
  <Company>SPecialiST RePack</Company>
  <LinksUpToDate>false</LinksUpToDate>
  <CharactersWithSpaces>9762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2023-04-13T13:29:00Z</dcterms:created>
  <dcterms:modified xsi:type="dcterms:W3CDTF">2023-04-13T13:29:00Z</dcterms:modified>
</cp:coreProperties>
</file>