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F02AB2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AB2" w:rsidRDefault="00C60B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F02AB2" w:rsidRDefault="00C60B1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F02AB2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  <w:tr w:rsidR="00F02AB2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02AB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F02AB2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октября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01.10.2023</w:t>
            </w:r>
          </w:p>
        </w:tc>
      </w:tr>
      <w:tr w:rsidR="00F02AB2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  <w:tr w:rsidR="00F02AB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</w:tr>
      <w:tr w:rsidR="00F02AB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10948295</w:t>
            </w:r>
          </w:p>
        </w:tc>
      </w:tr>
      <w:tr w:rsidR="00F02AB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</w:tr>
      <w:tr w:rsidR="00F02AB2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0"/>
              </w:rPr>
            </w:pPr>
          </w:p>
        </w:tc>
      </w:tr>
      <w:tr w:rsidR="00F02AB2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Уржумского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993</w:t>
            </w:r>
          </w:p>
        </w:tc>
      </w:tr>
      <w:tr w:rsidR="00F02AB2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  <w:tr w:rsidR="00F02AB2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Сельские поселения</w:t>
            </w:r>
          </w:p>
          <w:p w:rsidR="00F02AB2" w:rsidRDefault="00C60B10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33641496</w:t>
            </w:r>
          </w:p>
        </w:tc>
      </w:tr>
      <w:tr w:rsidR="00F02AB2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  <w:tr w:rsidR="00F02AB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02AB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  <w:tr w:rsidR="00F02AB2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</w:tbl>
    <w:p w:rsidR="00F02AB2" w:rsidRDefault="00C60B10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1 Организационная</w:t>
      </w:r>
      <w:r>
        <w:rPr>
          <w:rFonts w:ascii="Cambria" w:eastAsia="Cambria" w:hAnsi="Cambria" w:cs="Cambria"/>
          <w:b/>
          <w:color w:val="000000"/>
          <w:sz w:val="32"/>
          <w:szCs w:val="32"/>
        </w:rPr>
        <w:t xml:space="preserve"> структура субъекта бюджетной отчетности</w:t>
      </w:r>
    </w:p>
    <w:p w:rsidR="00F02AB2" w:rsidRDefault="00C60B10">
      <w:pPr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 </w:t>
      </w:r>
    </w:p>
    <w:p w:rsidR="00F02AB2" w:rsidRDefault="00C60B10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Муниципальное учреждение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осуществляет свою деятельность на основании Конституции Российской Федерации, федеральных конституционных законов, федеральных законов, иных нормативн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решений, принятых на местном референдуме, имеет самостоятельный баланс,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печать с гербом РФ. </w:t>
      </w:r>
      <w:proofErr w:type="gramEnd"/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имеет 2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подведомственных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ей учреждения культуры: МКУК Р.-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области,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</w:t>
      </w:r>
      <w:r>
        <w:rPr>
          <w:rFonts w:ascii="Cambria" w:eastAsia="Cambria" w:hAnsi="Cambria" w:cs="Cambria"/>
          <w:color w:val="000000"/>
          <w:sz w:val="32"/>
          <w:szCs w:val="32"/>
        </w:rPr>
        <w:t>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Основными задачами деятельности администрации являются: организация в границах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электро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-, тепл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о-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газо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- и водоснабжения населения, водоотведения, снабж</w:t>
      </w:r>
      <w:r>
        <w:rPr>
          <w:rFonts w:ascii="Cambria" w:eastAsia="Cambria" w:hAnsi="Cambria" w:cs="Cambria"/>
          <w:color w:val="000000"/>
          <w:sz w:val="32"/>
          <w:szCs w:val="32"/>
        </w:rPr>
        <w:t>ения населения топливом;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</w:t>
      </w:r>
      <w:r>
        <w:rPr>
          <w:rFonts w:ascii="Cambria" w:eastAsia="Cambria" w:hAnsi="Cambria" w:cs="Cambria"/>
          <w:color w:val="000000"/>
          <w:sz w:val="32"/>
          <w:szCs w:val="32"/>
        </w:rPr>
        <w:t>и в соответствии с законодательством Российской Федерации; участие в предупреждении и ликвидации последствий чрезвычайных ситуаций в границах поселения; обеспечение первичных мер пожарной безопасности в границах населенных пунктов поселения; создание услов</w:t>
      </w:r>
      <w:r>
        <w:rPr>
          <w:rFonts w:ascii="Cambria" w:eastAsia="Cambria" w:hAnsi="Cambria" w:cs="Cambria"/>
          <w:color w:val="000000"/>
          <w:sz w:val="32"/>
          <w:szCs w:val="32"/>
        </w:rPr>
        <w:t>ий для организации досуга и обеспечения жителей поселения услугами организаций культуры; организация благоустройства и озеленения территории поселения, расположенной в границах населенных пунктов поселения; организация и осуществление мероприятий по гражда</w:t>
      </w:r>
      <w:r>
        <w:rPr>
          <w:rFonts w:ascii="Cambria" w:eastAsia="Cambria" w:hAnsi="Cambria" w:cs="Cambria"/>
          <w:color w:val="000000"/>
          <w:sz w:val="32"/>
          <w:szCs w:val="32"/>
        </w:rPr>
        <w:t>нской обороне, защите населения и территории поселения от чрезвычайных ситуаций природного и техногенного характера; иные вопросы местного значения.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Исполнение бюджета осуществляет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области.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обеспечивает проведение финансовой, бюджетной и налоговой политики на территории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поселения.</w:t>
      </w:r>
    </w:p>
    <w:p w:rsidR="00F02AB2" w:rsidRDefault="00C60B10">
      <w:pPr>
        <w:ind w:left="36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 территории поселения имеются следующие сельскохозяйственные предприятия: ООО «Андр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еевское», ООО «Надежда-хлеб НА», колхоз им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оминтерна, колхоз им . Кирова, колхоз «Рассвет», ООО «Агрофирма Строитель» , ООО «Пригородное . Основными направлениями в животноводстве являются производство молока, мяса, в растениеводстве производство зерновых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культур и многолетних трав.</w:t>
      </w:r>
    </w:p>
    <w:p w:rsidR="00F02AB2" w:rsidRDefault="00C60B10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 </w:t>
      </w:r>
    </w:p>
    <w:p w:rsidR="00F02AB2" w:rsidRDefault="00C60B10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2 Результаты деятельности субъекта бюджетной отчетности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На 01.10.2023 г. общая численность работников, осуществляющих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исполнително-распорядительные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функции, муниципального учреждения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 составляет 61 человек. Из них 17 человек занято в ОМСУ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с общей штатной численностью 18,49 единицы прочий персонал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при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утвержденной штатной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численноси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12</w:t>
      </w:r>
      <w:r>
        <w:rPr>
          <w:rFonts w:ascii="Cambria" w:eastAsia="Cambria" w:hAnsi="Cambria" w:cs="Cambria"/>
          <w:color w:val="000000"/>
          <w:sz w:val="32"/>
          <w:szCs w:val="32"/>
        </w:rPr>
        <w:t>,4 ставок трудится 16человек, по работникам ВУС 1 человек. В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трудится 17 человек с общей штатной численностью в учреждении 12,25 единицы. В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</w:t>
      </w:r>
      <w:r>
        <w:rPr>
          <w:rFonts w:ascii="Cambria" w:eastAsia="Cambria" w:hAnsi="Cambria" w:cs="Cambria"/>
          <w:color w:val="000000"/>
          <w:sz w:val="32"/>
          <w:szCs w:val="32"/>
        </w:rPr>
        <w:t>селения трудится 11 человек с общей штатной численностью в учреждения 6,9 единицы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В своей работе работники учреждений руководствуются своими должностными регламентами.</w:t>
      </w:r>
    </w:p>
    <w:p w:rsidR="00F02AB2" w:rsidRDefault="00C60B10">
      <w:pPr>
        <w:ind w:firstLine="72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В целях повышения качества жизни жителей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путем предоставл</w:t>
      </w:r>
      <w:r>
        <w:rPr>
          <w:rFonts w:ascii="Cambria" w:eastAsia="Cambria" w:hAnsi="Cambria" w:cs="Cambria"/>
          <w:color w:val="000000"/>
          <w:sz w:val="32"/>
          <w:szCs w:val="32"/>
        </w:rPr>
        <w:t>ения им возможности саморазвития через регулярные занятия творчеством; обеспечения доступа населения поселения к культурным ценностям и участию в культурной жизни, реализации творческого потенциала граждан; развития и сохранения кадрового потенциала учрежд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ений культуры; сокращения разрыва между средним уровнем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оплаты труда работников учреждений культуры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и средним уровнем заработной платы по экономике Кировской области; повышения эффективности деятельности учреждения культуры и качества оказываемых учреждени</w:t>
      </w:r>
      <w:r>
        <w:rPr>
          <w:rFonts w:ascii="Cambria" w:eastAsia="Cambria" w:hAnsi="Cambria" w:cs="Cambria"/>
          <w:color w:val="000000"/>
          <w:sz w:val="32"/>
          <w:szCs w:val="32"/>
        </w:rPr>
        <w:t>ем культуры государственных (муниципальных) услуг; создания благоприятных условий для устойчивого развития сферы культуры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разработан и утвержден Приказом от 14.1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0.2013 г. № 8 «План мероприятий («дорожная карта») 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3 Анализ отчета об исполнении бюджета субъекта бюджетной отчетности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firstLine="700"/>
        <w:jc w:val="both"/>
      </w:pP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на 2023 год и плановый период 2024 и 2025 годов утвержден Решением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сельской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Думы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№4/14 от 23.12.2022 г.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Уржумского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района Кировской области на 2023 год и на плановый период 2024 и 2025 годов» в первоначальной редакции по доходам в сумме 26512180,00 рублей и по расходам в сумме 26512180,00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 дефицитом в объеме 0,0 рублей.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Уточненные бюджетные назначения по доходам в сумме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32860063,00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рублей исполнены на сумму 23294141,40 рублей (70,88%). Уточненные бюджетные назначения по расходам в сумме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34783224,48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рублей исполнены в сумме 20708725</w:t>
      </w:r>
      <w:r>
        <w:rPr>
          <w:rFonts w:ascii="Cambria" w:eastAsia="Cambria" w:hAnsi="Cambria" w:cs="Cambria"/>
          <w:color w:val="000000"/>
          <w:sz w:val="32"/>
          <w:szCs w:val="32"/>
        </w:rPr>
        <w:t>,05 рублей (59,53%). ЛБО соблюдались.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Норматив расходов на содержание органов местного самоуправления, утвержденный Постановлением Правительства Кировской области в сумме 8292000,00 рублей соблюден. 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Размер дефицита бюджета на 2023 год первоначально был ут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вержден в сумме 0,00 рублей, с учетом внесенных поправок уточненный размер дефицита бюджета составил 1923161,48рублей. Фактически бюджет поселения текущего года исполнен с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профицитом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в размере 2585416,35 рублей. Предельный объем дефицита бюджета, установле</w:t>
      </w:r>
      <w:r>
        <w:rPr>
          <w:rFonts w:ascii="Cambria" w:eastAsia="Cambria" w:hAnsi="Cambria" w:cs="Cambria"/>
          <w:color w:val="000000"/>
          <w:sz w:val="32"/>
          <w:szCs w:val="32"/>
        </w:rPr>
        <w:t>нный ст. 92.1 БК РФ в 2023 году соблюдался.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lastRenderedPageBreak/>
        <w:t xml:space="preserve">Бюджет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за 2023 год исполнен в соответствии с Основными направлениями бюджетной и налоговой политики и основан на показателях прогноза социально-экономического развития поселения. 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4 Анализ показателей финансовой отчетности субъекта бюджетной отчетности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На 01.10.2023 года просроченная кредиторская задолженность отсутствует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 xml:space="preserve"> .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 xml:space="preserve"> Поступление средств на лицевые счета по безналичным расчетам через финансовые органы отражено в </w:t>
      </w:r>
      <w:r>
        <w:rPr>
          <w:rFonts w:ascii="Cambria" w:eastAsia="Cambria" w:hAnsi="Cambria" w:cs="Cambria"/>
          <w:color w:val="000000"/>
          <w:sz w:val="32"/>
          <w:szCs w:val="32"/>
        </w:rPr>
        <w:t>полном объеме, т.е. 23294141,40 рублей («Отчет об исполнении бюджета» (ф. 0503117)). Кассовые расходы составили 20708725,05 рублей.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По состоянию на 01.10.2023 года роста дебиторской и кредиторской задолженности по сравнению с аналогичным периодом прошлого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года нет. </w:t>
      </w:r>
    </w:p>
    <w:p w:rsidR="00F02AB2" w:rsidRDefault="00C60B10">
      <w:pPr>
        <w:jc w:val="both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        </w:t>
      </w: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 </w:t>
      </w:r>
    </w:p>
    <w:p w:rsidR="00F02AB2" w:rsidRDefault="00C60B10">
      <w:pPr>
        <w:ind w:left="700"/>
        <w:jc w:val="center"/>
      </w:pPr>
      <w:r>
        <w:rPr>
          <w:rFonts w:ascii="Cambria" w:eastAsia="Cambria" w:hAnsi="Cambria" w:cs="Cambria"/>
          <w:b/>
          <w:color w:val="000000"/>
          <w:sz w:val="32"/>
          <w:szCs w:val="32"/>
        </w:rPr>
        <w:t>Раздел 5</w:t>
      </w:r>
      <w:proofErr w:type="gramStart"/>
      <w:r>
        <w:rPr>
          <w:rFonts w:ascii="Cambria" w:eastAsia="Cambria" w:hAnsi="Cambria" w:cs="Cambria"/>
          <w:b/>
          <w:color w:val="000000"/>
          <w:sz w:val="32"/>
          <w:szCs w:val="32"/>
        </w:rPr>
        <w:t xml:space="preserve"> П</w:t>
      </w:r>
      <w:proofErr w:type="gramEnd"/>
      <w:r>
        <w:rPr>
          <w:rFonts w:ascii="Cambria" w:eastAsia="Cambria" w:hAnsi="Cambria" w:cs="Cambria"/>
          <w:b/>
          <w:color w:val="000000"/>
          <w:sz w:val="32"/>
          <w:szCs w:val="32"/>
        </w:rPr>
        <w:t>рочие вопросы деятельности субъекта бюджетной отчетности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 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Нормативным документом, регламентирующим деятельность МУ администрация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района Кировской области, МКУК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Р.-Тимкинский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СДК»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и МКУК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Богдановская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сельская библиотека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Уржумского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сельского поселения в области бухгалтерского учета и налогообложения, является учетная политика.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Учетной политикой </w:t>
      </w:r>
      <w:proofErr w:type="gramStart"/>
      <w:r>
        <w:rPr>
          <w:rFonts w:ascii="Cambria" w:eastAsia="Cambria" w:hAnsi="Cambria" w:cs="Cambria"/>
          <w:color w:val="000000"/>
          <w:sz w:val="32"/>
          <w:szCs w:val="32"/>
        </w:rPr>
        <w:t>утверждены</w:t>
      </w:r>
      <w:proofErr w:type="gramEnd"/>
      <w:r>
        <w:rPr>
          <w:rFonts w:ascii="Cambria" w:eastAsia="Cambria" w:hAnsi="Cambria" w:cs="Cambria"/>
          <w:color w:val="000000"/>
          <w:sz w:val="32"/>
          <w:szCs w:val="32"/>
        </w:rPr>
        <w:t>:</w:t>
      </w:r>
    </w:p>
    <w:p w:rsidR="00F02AB2" w:rsidRDefault="00C60B10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рабочий план счетов бухгалтерского уче</w:t>
      </w:r>
      <w:r>
        <w:rPr>
          <w:rFonts w:ascii="Cambria" w:eastAsia="Cambria" w:hAnsi="Cambria" w:cs="Cambria"/>
          <w:color w:val="000000"/>
          <w:sz w:val="32"/>
          <w:szCs w:val="32"/>
        </w:rPr>
        <w:t>та, содержащий применяемые счета бухгалтерского учета для ведения синтетического и аналитического учета;</w:t>
      </w:r>
    </w:p>
    <w:p w:rsidR="00F02AB2" w:rsidRDefault="00C60B10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lastRenderedPageBreak/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методы оценки отдельных видов имущества и обязательств;</w:t>
      </w:r>
    </w:p>
    <w:p w:rsidR="00F02AB2" w:rsidRDefault="00C60B10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-       порядок проведения инвентаризации имущества и обязательств;</w:t>
      </w:r>
    </w:p>
    <w:p w:rsidR="00F02AB2" w:rsidRDefault="00C60B10">
      <w:pPr>
        <w:ind w:left="360" w:hanging="36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 xml:space="preserve">-       правила </w:t>
      </w:r>
      <w:r>
        <w:rPr>
          <w:rFonts w:ascii="Cambria" w:eastAsia="Cambria" w:hAnsi="Cambria" w:cs="Cambria"/>
          <w:color w:val="000000"/>
          <w:sz w:val="32"/>
          <w:szCs w:val="32"/>
        </w:rPr>
        <w:t>документооборота и технической обработки учетной информации, в том числе порядок и сроки передачи первичных (сводных) учетных документов в соответствии с утвержденным графиком документооборота для отражения в бухгалтерском учете;</w:t>
      </w:r>
    </w:p>
    <w:p w:rsidR="00F02AB2" w:rsidRDefault="00C60B10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формы первичных (с</w:t>
      </w:r>
      <w:r>
        <w:rPr>
          <w:rFonts w:ascii="Cambria" w:eastAsia="Cambria" w:hAnsi="Cambria" w:cs="Cambria"/>
          <w:color w:val="000000"/>
          <w:sz w:val="32"/>
          <w:szCs w:val="32"/>
        </w:rPr>
        <w:t>водных) учетных документов, применяемых для оформления хозяйственных операций, по которым законодательством РФ не установлены обязательные для их оформления формы документов;</w:t>
      </w:r>
    </w:p>
    <w:p w:rsidR="00F02AB2" w:rsidRDefault="00C60B10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порядок организации и обеспечения (осуществления) учреждением внутреннего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 финансового контроля;</w:t>
      </w:r>
    </w:p>
    <w:p w:rsidR="00F02AB2" w:rsidRDefault="00C60B10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>совокупность допускаемых НК РФ (методов) определения доходов и (или) расходов, их признания, оценки и распределения, а также учета иных необходимых для целей налогообложения показателей финансово-хозяйственной деятельности на</w:t>
      </w:r>
      <w:r>
        <w:rPr>
          <w:rFonts w:ascii="Cambria" w:eastAsia="Cambria" w:hAnsi="Cambria" w:cs="Cambria"/>
          <w:color w:val="000000"/>
          <w:sz w:val="32"/>
          <w:szCs w:val="32"/>
        </w:rPr>
        <w:t>логоплательщика;</w:t>
      </w:r>
    </w:p>
    <w:p w:rsidR="00F02AB2" w:rsidRDefault="00C60B10">
      <w:pPr>
        <w:ind w:left="360" w:hanging="360"/>
        <w:jc w:val="both"/>
      </w:pPr>
      <w:r>
        <w:rPr>
          <w:rFonts w:ascii="Symbol" w:eastAsia="Symbol" w:hAnsi="Symbol" w:cs="Symbol"/>
          <w:color w:val="000000"/>
          <w:sz w:val="32"/>
          <w:szCs w:val="32"/>
        </w:rPr>
        <w:t>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     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иные решения, необходимые для организации и ведения бухгалтерского 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налогововго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учета.</w:t>
      </w:r>
    </w:p>
    <w:p w:rsidR="00F02AB2" w:rsidRDefault="00C60B10">
      <w:pPr>
        <w:ind w:firstLine="700"/>
        <w:jc w:val="both"/>
      </w:pPr>
      <w:r>
        <w:rPr>
          <w:rFonts w:ascii="Cambria" w:eastAsia="Cambria" w:hAnsi="Cambria" w:cs="Cambria"/>
          <w:color w:val="000000"/>
          <w:sz w:val="32"/>
          <w:szCs w:val="32"/>
        </w:rPr>
        <w:t>Бухгалтерский учет осуществляется с применением программного продукта «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КейСистемс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>».</w:t>
      </w:r>
    </w:p>
    <w:p w:rsidR="00F02AB2" w:rsidRDefault="00C60B10">
      <w:r>
        <w:rPr>
          <w:rFonts w:ascii="Cambria" w:eastAsia="Cambria" w:hAnsi="Cambria" w:cs="Cambria"/>
          <w:color w:val="000000"/>
          <w:sz w:val="32"/>
          <w:szCs w:val="32"/>
        </w:rPr>
        <w:t xml:space="preserve">В целях обеспечения правильности и целевого использованием </w:t>
      </w:r>
      <w:r>
        <w:rPr>
          <w:rFonts w:ascii="Cambria" w:eastAsia="Cambria" w:hAnsi="Cambria" w:cs="Cambria"/>
          <w:color w:val="000000"/>
          <w:sz w:val="32"/>
          <w:szCs w:val="32"/>
        </w:rPr>
        <w:t xml:space="preserve">бюджетных средств, своевременного и полного расчета по налогам и взносам во внебюджетные фонды, а также расчетов с персоналом, различными предприятиями, организациями и физическими лицами </w:t>
      </w:r>
      <w:proofErr w:type="spellStart"/>
      <w:r>
        <w:rPr>
          <w:rFonts w:ascii="Cambria" w:eastAsia="Cambria" w:hAnsi="Cambria" w:cs="Cambria"/>
          <w:color w:val="000000"/>
          <w:sz w:val="32"/>
          <w:szCs w:val="32"/>
        </w:rPr>
        <w:t>существляется</w:t>
      </w:r>
      <w:proofErr w:type="spellEnd"/>
      <w:r>
        <w:rPr>
          <w:rFonts w:ascii="Cambria" w:eastAsia="Cambria" w:hAnsi="Cambria" w:cs="Cambria"/>
          <w:color w:val="000000"/>
          <w:sz w:val="32"/>
          <w:szCs w:val="32"/>
        </w:rPr>
        <w:t xml:space="preserve"> внутренний финансовый контроль со стороны руководителе</w:t>
      </w:r>
      <w:r>
        <w:rPr>
          <w:rFonts w:ascii="Cambria" w:eastAsia="Cambria" w:hAnsi="Cambria" w:cs="Cambria"/>
          <w:color w:val="000000"/>
          <w:sz w:val="32"/>
          <w:szCs w:val="32"/>
        </w:rPr>
        <w:t>й и главного бухгалтера. Нарушения в ходе контрольных мероприятий не установлены.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        </w:t>
      </w:r>
      <w:r>
        <w:rPr>
          <w:rFonts w:ascii="Cambria" w:eastAsia="Cambria" w:hAnsi="Cambria" w:cs="Cambria"/>
          <w:color w:val="000000"/>
          <w:sz w:val="32"/>
          <w:szCs w:val="32"/>
        </w:rPr>
        <w:t>      </w:t>
      </w:r>
    </w:p>
    <w:p w:rsidR="00F02AB2" w:rsidRDefault="00F02AB2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F02AB2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F02AB2"/>
        </w:tc>
      </w:tr>
      <w:tr w:rsidR="00F02AB2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F02AB2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Платунова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Л.А.</w:t>
            </w:r>
          </w:p>
        </w:tc>
      </w:tr>
      <w:tr w:rsidR="00F02AB2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2AB2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02AB2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  <w:tr w:rsidR="00F02AB2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2AB2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F02AB2">
            <w:pPr>
              <w:rPr>
                <w:sz w:val="24"/>
              </w:rPr>
            </w:pPr>
          </w:p>
        </w:tc>
      </w:tr>
      <w:tr w:rsidR="00F02AB2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F02AB2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Л.В.</w:t>
            </w:r>
          </w:p>
        </w:tc>
      </w:tr>
      <w:tr w:rsidR="00F02AB2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AB2" w:rsidRDefault="00C60B1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02AB2" w:rsidRDefault="00C60B1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F02AB2" w:rsidRDefault="00C60B1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F02AB2" w:rsidRDefault="00C60B10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F02AB2" w:rsidSect="00F02AB2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02AB2"/>
    <w:rsid w:val="00C60B10"/>
    <w:rsid w:val="00F02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2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F02AB2"/>
  </w:style>
  <w:style w:type="character" w:styleId="a3">
    <w:name w:val="Hyperlink"/>
    <w:rsid w:val="00F02AB2"/>
    <w:rPr>
      <w:color w:val="0000FF"/>
      <w:u w:val="single"/>
    </w:rPr>
  </w:style>
  <w:style w:type="table" w:styleId="1">
    <w:name w:val="Table Simple 1"/>
    <w:basedOn w:val="a1"/>
    <w:rsid w:val="00F02A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1433</Words>
  <Characters>8171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2023-10-25T12:55:00Z</dcterms:created>
  <dcterms:modified xsi:type="dcterms:W3CDTF">2023-10-25T12:55:00Z</dcterms:modified>
</cp:coreProperties>
</file>